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87" w:rsidRPr="00E70B30" w:rsidRDefault="0021672B" w:rsidP="00E70B30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AA1FD2" w:rsidRDefault="00AA1FD2" w:rsidP="00F52F87"/>
              </w:txbxContent>
            </v:textbox>
          </v:shape>
        </w:pict>
      </w:r>
      <w:r w:rsidR="00E70B30" w:rsidRPr="00E70B30">
        <w:rPr>
          <w:rFonts w:ascii="Times New Roman" w:hAnsi="Times New Roman"/>
          <w:noProof/>
        </w:rPr>
        <w:t>ПРОЕКТ</w:t>
      </w:r>
    </w:p>
    <w:p w:rsidR="00F52F87" w:rsidRDefault="00F52F87" w:rsidP="00F52F87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7" w:rsidRDefault="00F52F87" w:rsidP="00F52F87">
      <w:pPr>
        <w:pStyle w:val="3"/>
        <w:framePr w:w="9897" w:wrap="around" w:x="1435" w:y="266"/>
      </w:pPr>
    </w:p>
    <w:p w:rsidR="00F52F87" w:rsidRDefault="00F52F87" w:rsidP="00F52F87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F52F87" w:rsidRDefault="00F52F87" w:rsidP="00F52F87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F52F87" w:rsidRDefault="00F52F87" w:rsidP="00F52F87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9C2407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F52F87" w:rsidRDefault="00F52F87" w:rsidP="00F52F8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F52F87" w:rsidRDefault="00F52F87" w:rsidP="00F52F8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2606F" w:rsidRDefault="0092606F" w:rsidP="00241F44">
      <w:pPr>
        <w:jc w:val="right"/>
      </w:pPr>
    </w:p>
    <w:p w:rsidR="00241F44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</w:p>
    <w:p w:rsidR="00241F44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 ___ 2016                                                                                                                                         </w:t>
      </w:r>
      <w:r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20239753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Pr="001F1D90">
        <w:rPr>
          <w:rFonts w:ascii="Times New Roman" w:hAnsi="Times New Roman"/>
          <w:sz w:val="22"/>
        </w:rPr>
        <w:t>______</w:t>
      </w:r>
    </w:p>
    <w:p w:rsidR="00241F44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</w:p>
    <w:p w:rsidR="00241F44" w:rsidRDefault="00241F44" w:rsidP="00241F44">
      <w:pPr>
        <w:framePr w:w="10077" w:h="441" w:hSpace="180" w:wrap="around" w:vAnchor="text" w:hAnchor="page" w:x="1321" w:y="394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92606F" w:rsidRDefault="0092606F" w:rsidP="00F52F87"/>
    <w:p w:rsidR="00F52F87" w:rsidRDefault="00F52F87" w:rsidP="00F52F87"/>
    <w:p w:rsidR="00F52F87" w:rsidRDefault="00F52F87" w:rsidP="00F52F87"/>
    <w:p w:rsidR="00F52F87" w:rsidRDefault="00F52F87" w:rsidP="00F52F87">
      <w:pPr>
        <w:widowControl w:val="0"/>
        <w:jc w:val="both"/>
      </w:pP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9C2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91</w:t>
      </w:r>
      <w:r w:rsidR="008375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3755A">
        <w:rPr>
          <w:rFonts w:ascii="Times New Roman" w:hAnsi="Times New Roman"/>
          <w:sz w:val="28"/>
          <w:szCs w:val="28"/>
        </w:rPr>
        <w:t>Возмещение затрат за организацию и проведение похорон Почетного гражданина ЗАТО Железногорск Красноярского края»</w:t>
      </w:r>
    </w:p>
    <w:p w:rsidR="00241F44" w:rsidRDefault="00241F44" w:rsidP="00F52F87">
      <w:pPr>
        <w:jc w:val="both"/>
        <w:rPr>
          <w:rFonts w:ascii="Times New Roman" w:hAnsi="Times New Roman"/>
          <w:sz w:val="28"/>
          <w:szCs w:val="28"/>
        </w:rPr>
      </w:pPr>
    </w:p>
    <w:p w:rsidR="00F52F87" w:rsidRDefault="00241F44" w:rsidP="00F52F8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F52F87">
        <w:rPr>
          <w:rFonts w:ascii="Times New Roman" w:hAnsi="Times New Roman"/>
          <w:sz w:val="28"/>
          <w:szCs w:val="28"/>
        </w:rPr>
        <w:t>Уставом</w:t>
      </w:r>
      <w:proofErr w:type="gramEnd"/>
      <w:r w:rsidR="00F52F87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F52F87" w:rsidRDefault="00F52F87" w:rsidP="00F52F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52F87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BF3438" w:rsidRDefault="0083755A" w:rsidP="00BF34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52F87">
        <w:rPr>
          <w:rFonts w:ascii="Times New Roman" w:hAnsi="Times New Roman"/>
          <w:sz w:val="28"/>
          <w:szCs w:val="28"/>
        </w:rPr>
        <w:t>1.</w:t>
      </w:r>
      <w:r w:rsidR="009C2407">
        <w:rPr>
          <w:rFonts w:ascii="Times New Roman" w:hAnsi="Times New Roman"/>
          <w:sz w:val="28"/>
          <w:szCs w:val="28"/>
        </w:rPr>
        <w:t xml:space="preserve"> </w:t>
      </w:r>
      <w:r w:rsidR="00F52F87">
        <w:rPr>
          <w:rFonts w:ascii="Times New Roman" w:hAnsi="Times New Roman"/>
          <w:sz w:val="28"/>
          <w:szCs w:val="28"/>
        </w:rPr>
        <w:t xml:space="preserve">Внести в постановление Администрации ЗАТО </w:t>
      </w:r>
      <w:proofErr w:type="gramStart"/>
      <w:r w:rsidR="00F52F87">
        <w:rPr>
          <w:rFonts w:ascii="Times New Roman" w:hAnsi="Times New Roman"/>
          <w:sz w:val="28"/>
          <w:szCs w:val="28"/>
        </w:rPr>
        <w:t>г</w:t>
      </w:r>
      <w:proofErr w:type="gramEnd"/>
      <w:r w:rsidR="00F52F87">
        <w:rPr>
          <w:rFonts w:ascii="Times New Roman" w:hAnsi="Times New Roman"/>
          <w:sz w:val="28"/>
          <w:szCs w:val="28"/>
        </w:rPr>
        <w:t>.</w:t>
      </w:r>
      <w:r w:rsidR="009C2407">
        <w:rPr>
          <w:rFonts w:ascii="Times New Roman" w:hAnsi="Times New Roman"/>
          <w:sz w:val="28"/>
          <w:szCs w:val="28"/>
        </w:rPr>
        <w:t xml:space="preserve"> </w:t>
      </w:r>
      <w:r w:rsidR="00F52F87">
        <w:rPr>
          <w:rFonts w:ascii="Times New Roman" w:hAnsi="Times New Roman"/>
          <w:sz w:val="28"/>
          <w:szCs w:val="28"/>
        </w:rPr>
        <w:t>Железногорск от 31.05.2012 № 91</w:t>
      </w:r>
      <w:r>
        <w:rPr>
          <w:rFonts w:ascii="Times New Roman" w:hAnsi="Times New Roman"/>
          <w:sz w:val="28"/>
          <w:szCs w:val="28"/>
        </w:rPr>
        <w:t>7</w:t>
      </w:r>
      <w:r w:rsidR="00F52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организацию и проведение похорон Почетного гражданина ЗАТО Железногорск Красноярского края» </w:t>
      </w:r>
      <w:r w:rsidR="00F52F87">
        <w:rPr>
          <w:rFonts w:ascii="Times New Roman" w:hAnsi="Times New Roman"/>
          <w:sz w:val="28"/>
          <w:szCs w:val="28"/>
        </w:rPr>
        <w:t>следующие изменения:</w:t>
      </w:r>
    </w:p>
    <w:p w:rsidR="00BF3438" w:rsidRDefault="00BF3438" w:rsidP="00BF34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BF3438" w:rsidRDefault="00BF3438" w:rsidP="0083755A">
      <w:pPr>
        <w:jc w:val="both"/>
        <w:rPr>
          <w:rFonts w:ascii="Times New Roman" w:hAnsi="Times New Roman"/>
          <w:sz w:val="28"/>
          <w:szCs w:val="28"/>
        </w:rPr>
      </w:pPr>
    </w:p>
    <w:p w:rsidR="00241F44" w:rsidRDefault="00241F44" w:rsidP="00241F4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F34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241F44" w:rsidRPr="003742F2" w:rsidTr="007C73A8">
        <w:tc>
          <w:tcPr>
            <w:tcW w:w="2608" w:type="dxa"/>
          </w:tcPr>
          <w:p w:rsidR="00241F44" w:rsidRPr="0084389C" w:rsidRDefault="00241F44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241F44" w:rsidRPr="0084389C" w:rsidRDefault="00241F44" w:rsidP="007C73A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241F44" w:rsidRPr="0084389C" w:rsidRDefault="00241F44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41F44" w:rsidRPr="0084389C" w:rsidRDefault="00241F44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41F44" w:rsidRPr="0084389C" w:rsidRDefault="00241F44" w:rsidP="007C73A8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5E32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241F44" w:rsidRPr="0084389C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241F44" w:rsidRPr="0084389C" w:rsidRDefault="00241F44" w:rsidP="005E3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BF3438" w:rsidRPr="00BF3438" w:rsidRDefault="00BF3438" w:rsidP="00241F44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241F44" w:rsidRDefault="00241F44" w:rsidP="00241F44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34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241F44" w:rsidRPr="00062CB6" w:rsidTr="007C73A8">
        <w:tc>
          <w:tcPr>
            <w:tcW w:w="2608" w:type="dxa"/>
          </w:tcPr>
          <w:p w:rsidR="00241F44" w:rsidRPr="00F71CB8" w:rsidRDefault="00241F44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241F44" w:rsidRPr="00F71CB8" w:rsidRDefault="00241F44" w:rsidP="007C73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241F44" w:rsidRPr="00F71CB8" w:rsidRDefault="00241F44" w:rsidP="007C73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241F44" w:rsidRPr="00F71CB8" w:rsidRDefault="00241F44" w:rsidP="007C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5E3257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в информационно-телекоммуникационной сети «Интернет»;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D2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E3257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241F44" w:rsidRPr="00F71CB8" w:rsidRDefault="00241F44" w:rsidP="00D260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241F44" w:rsidRPr="00F71CB8" w:rsidRDefault="00241F44" w:rsidP="007C73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ED77F9" w:rsidRPr="000E3A63" w:rsidRDefault="00ED77F9" w:rsidP="00ED77F9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ED77F9" w:rsidRDefault="00ED77F9" w:rsidP="00ED77F9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ED77F9" w:rsidRPr="00665803" w:rsidTr="007D171D">
        <w:trPr>
          <w:trHeight w:val="467"/>
        </w:trPr>
        <w:tc>
          <w:tcPr>
            <w:tcW w:w="9986" w:type="dxa"/>
            <w:gridSpan w:val="2"/>
          </w:tcPr>
          <w:p w:rsidR="00ED77F9" w:rsidRPr="004F5261" w:rsidRDefault="00ED77F9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ED77F9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ED77F9" w:rsidRPr="004F5261" w:rsidRDefault="00ED77F9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ED77F9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ED77F9" w:rsidRPr="004F5261" w:rsidRDefault="00ED77F9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ED77F9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ED77F9" w:rsidRPr="004F5261" w:rsidRDefault="00ED77F9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досудебного (внесудебного)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обжалования</w:t>
            </w:r>
          </w:p>
        </w:tc>
        <w:tc>
          <w:tcPr>
            <w:tcW w:w="7378" w:type="dxa"/>
          </w:tcPr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наименование органа, предоставляющего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должностного лица органа, предоставляющего муниципальную услугу;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«Интернет»;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ED77F9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ED77F9" w:rsidRPr="004F5261" w:rsidRDefault="00ED77F9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F9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ED77F9" w:rsidRPr="004F5261" w:rsidRDefault="00ED77F9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ED77F9" w:rsidRPr="004F5261" w:rsidRDefault="00ED77F9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ED77F9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ED77F9" w:rsidRPr="004F5261" w:rsidRDefault="00ED77F9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5.6. Сроки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жалобы</w:t>
            </w:r>
          </w:p>
        </w:tc>
        <w:tc>
          <w:tcPr>
            <w:tcW w:w="7378" w:type="dxa"/>
          </w:tcPr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Поступившая жалоба подлежит регистрации не позднее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ED77F9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ED77F9" w:rsidRPr="004F5261" w:rsidRDefault="00ED77F9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5.7. Результаты досудебного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(внесудебного) обжалования</w:t>
            </w:r>
          </w:p>
        </w:tc>
        <w:tc>
          <w:tcPr>
            <w:tcW w:w="7378" w:type="dxa"/>
          </w:tcPr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или орган, уполномоченные на ее рассмотрение,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принимают одно из следующих решений: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ED77F9" w:rsidRPr="004F5261" w:rsidRDefault="00ED77F9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ED77F9" w:rsidRDefault="00ED77F9" w:rsidP="00ED77F9">
      <w:pPr>
        <w:jc w:val="both"/>
        <w:rPr>
          <w:rStyle w:val="FontStyle14"/>
        </w:rPr>
      </w:pPr>
    </w:p>
    <w:p w:rsidR="00241F44" w:rsidRDefault="00241F44" w:rsidP="00241F44">
      <w:pPr>
        <w:jc w:val="both"/>
        <w:rPr>
          <w:rStyle w:val="FontStyle14"/>
        </w:rPr>
      </w:pPr>
    </w:p>
    <w:p w:rsidR="00241F44" w:rsidRDefault="00241F44" w:rsidP="00241F4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5E3595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F52F87" w:rsidRDefault="00F52F87" w:rsidP="00F52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0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(И.С.</w:t>
      </w:r>
      <w:r w:rsidR="00AA1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8546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8546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52F87" w:rsidRDefault="00F52F87" w:rsidP="00F52F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0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</w:t>
      </w:r>
      <w:r w:rsidR="00AA1FD2">
        <w:rPr>
          <w:rFonts w:ascii="Times New Roman" w:hAnsi="Times New Roman"/>
          <w:sz w:val="28"/>
          <w:szCs w:val="28"/>
        </w:rPr>
        <w:t>горск по социальным вопросам В.</w:t>
      </w:r>
      <w:r>
        <w:rPr>
          <w:rFonts w:ascii="Times New Roman" w:hAnsi="Times New Roman"/>
          <w:sz w:val="28"/>
          <w:szCs w:val="28"/>
        </w:rPr>
        <w:t xml:space="preserve">Ю. Фомаиди.  </w:t>
      </w:r>
    </w:p>
    <w:p w:rsidR="00F52F87" w:rsidRDefault="00F52F87" w:rsidP="00F52F8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52F87" w:rsidRDefault="00F52F87" w:rsidP="00F52F8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A1FD2" w:rsidRDefault="00AA1FD2" w:rsidP="00F52F8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2F87" w:rsidRDefault="00F52F87" w:rsidP="00D2675F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B676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</w:t>
      </w:r>
      <w:r w:rsidR="00B676D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</w:t>
      </w:r>
      <w:r w:rsidR="00AA1FD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С.Е.</w:t>
      </w:r>
      <w:r w:rsidR="00AA1F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sectPr w:rsidR="00F52F87" w:rsidSect="00B676D1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BD5" w:rsidRDefault="003E7BD5" w:rsidP="00B676D1">
      <w:r>
        <w:separator/>
      </w:r>
    </w:p>
  </w:endnote>
  <w:endnote w:type="continuationSeparator" w:id="0">
    <w:p w:rsidR="003E7BD5" w:rsidRDefault="003E7BD5" w:rsidP="00B6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BD5" w:rsidRDefault="003E7BD5" w:rsidP="00B676D1">
      <w:r>
        <w:separator/>
      </w:r>
    </w:p>
  </w:footnote>
  <w:footnote w:type="continuationSeparator" w:id="0">
    <w:p w:rsidR="003E7BD5" w:rsidRDefault="003E7BD5" w:rsidP="00B6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434"/>
      <w:docPartObj>
        <w:docPartGallery w:val="Page Numbers (Top of Page)"/>
        <w:docPartUnique/>
      </w:docPartObj>
    </w:sdtPr>
    <w:sdtContent>
      <w:p w:rsidR="00AA1FD2" w:rsidRDefault="0021672B">
        <w:pPr>
          <w:pStyle w:val="a9"/>
          <w:jc w:val="center"/>
        </w:pPr>
        <w:fldSimple w:instr=" PAGE   \* MERGEFORMAT ">
          <w:r w:rsidR="00ED77F9">
            <w:rPr>
              <w:noProof/>
            </w:rPr>
            <w:t>11</w:t>
          </w:r>
        </w:fldSimple>
      </w:p>
    </w:sdtContent>
  </w:sdt>
  <w:p w:rsidR="00AA1FD2" w:rsidRDefault="00AA1F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59A0F58"/>
    <w:multiLevelType w:val="multilevel"/>
    <w:tmpl w:val="BF048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0762B71"/>
    <w:multiLevelType w:val="multilevel"/>
    <w:tmpl w:val="80E4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87"/>
    <w:rsid w:val="00003344"/>
    <w:rsid w:val="00006731"/>
    <w:rsid w:val="00051F76"/>
    <w:rsid w:val="0005641F"/>
    <w:rsid w:val="000B7D8D"/>
    <w:rsid w:val="000C3F2A"/>
    <w:rsid w:val="00102BF6"/>
    <w:rsid w:val="00114523"/>
    <w:rsid w:val="00152BF5"/>
    <w:rsid w:val="00164DD6"/>
    <w:rsid w:val="00166D1F"/>
    <w:rsid w:val="001A089C"/>
    <w:rsid w:val="001D308A"/>
    <w:rsid w:val="001F1D90"/>
    <w:rsid w:val="002056A0"/>
    <w:rsid w:val="002110F5"/>
    <w:rsid w:val="0021672B"/>
    <w:rsid w:val="00241176"/>
    <w:rsid w:val="00241F44"/>
    <w:rsid w:val="002C4068"/>
    <w:rsid w:val="00355EBB"/>
    <w:rsid w:val="003E7BD5"/>
    <w:rsid w:val="00403A84"/>
    <w:rsid w:val="00416892"/>
    <w:rsid w:val="00435FE7"/>
    <w:rsid w:val="004E7E7E"/>
    <w:rsid w:val="00503A77"/>
    <w:rsid w:val="005E3257"/>
    <w:rsid w:val="005E3595"/>
    <w:rsid w:val="006066E2"/>
    <w:rsid w:val="006524A2"/>
    <w:rsid w:val="006677F1"/>
    <w:rsid w:val="00684CDD"/>
    <w:rsid w:val="006A7D4D"/>
    <w:rsid w:val="006D3765"/>
    <w:rsid w:val="00747900"/>
    <w:rsid w:val="007A1DD0"/>
    <w:rsid w:val="0083755A"/>
    <w:rsid w:val="0085344F"/>
    <w:rsid w:val="008546B8"/>
    <w:rsid w:val="00881E81"/>
    <w:rsid w:val="009074C2"/>
    <w:rsid w:val="0092606F"/>
    <w:rsid w:val="00981C9A"/>
    <w:rsid w:val="009B26C2"/>
    <w:rsid w:val="009C2407"/>
    <w:rsid w:val="00A62691"/>
    <w:rsid w:val="00A635DD"/>
    <w:rsid w:val="00A77F32"/>
    <w:rsid w:val="00A92EE9"/>
    <w:rsid w:val="00AA1FD2"/>
    <w:rsid w:val="00B024C5"/>
    <w:rsid w:val="00B5788B"/>
    <w:rsid w:val="00B676D1"/>
    <w:rsid w:val="00B812D6"/>
    <w:rsid w:val="00BE3FAB"/>
    <w:rsid w:val="00BF3438"/>
    <w:rsid w:val="00C03C68"/>
    <w:rsid w:val="00C24B97"/>
    <w:rsid w:val="00C26455"/>
    <w:rsid w:val="00D2604F"/>
    <w:rsid w:val="00D2675F"/>
    <w:rsid w:val="00D502BF"/>
    <w:rsid w:val="00D842BD"/>
    <w:rsid w:val="00DC0C2E"/>
    <w:rsid w:val="00DC7BD4"/>
    <w:rsid w:val="00E23410"/>
    <w:rsid w:val="00E70B30"/>
    <w:rsid w:val="00ED77F9"/>
    <w:rsid w:val="00F15E55"/>
    <w:rsid w:val="00F5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F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2F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F52F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F52F87"/>
    <w:pPr>
      <w:ind w:left="720"/>
      <w:contextualSpacing/>
    </w:pPr>
  </w:style>
  <w:style w:type="paragraph" w:customStyle="1" w:styleId="a4">
    <w:name w:val="Заявление"/>
    <w:basedOn w:val="a"/>
    <w:next w:val="a5"/>
    <w:rsid w:val="00F52F87"/>
  </w:style>
  <w:style w:type="table" w:styleId="a6">
    <w:name w:val="Table Grid"/>
    <w:basedOn w:val="a1"/>
    <w:uiPriority w:val="59"/>
    <w:rsid w:val="00F5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F52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7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67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9B26C2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241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84AB7-F94E-4912-8A34-55EF041C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14</cp:revision>
  <cp:lastPrinted>2015-08-17T04:32:00Z</cp:lastPrinted>
  <dcterms:created xsi:type="dcterms:W3CDTF">2015-07-08T06:57:00Z</dcterms:created>
  <dcterms:modified xsi:type="dcterms:W3CDTF">2016-03-23T05:03:00Z</dcterms:modified>
</cp:coreProperties>
</file>